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90" w:rsidRDefault="00DA5B73">
      <w:pPr>
        <w:pStyle w:val="12"/>
        <w:widowControl/>
        <w:tabs>
          <w:tab w:val="center" w:pos="4474"/>
          <w:tab w:val="left" w:pos="6560"/>
        </w:tabs>
        <w:ind w:left="-1701" w:right="-567" w:firstLine="98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120015" cy="158750"/>
                <wp:effectExtent l="0" t="0" r="13335" b="1270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00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4F90" w:rsidRDefault="00084F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22pt;margin-top:-18pt;width:9.45pt;height:1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8ZDAIAAMcDAAAOAAAAZHJzL2Uyb0RvYy54bWysU8FuEzEQvSPxD5bvZLORAtUqm6pqVYRU&#10;oFIpd8frzVrseszYyW44IXFF4hP6EVwQhX7D5o8Ye5OUwg1xscb2zPO8N8+z466p2Vqh02Byno7G&#10;nCkjodBmmfPrN+dPjjhzXphC1GBUzjfK8eP540ez1mZqAhXUhUJGIMZlrc155b3NksTJSjXCjcAq&#10;Q5clYCM8bXGZFChaQm/qZDIeP01awMIiSOUcnZ4Nl3we8ctSSf+6LJ3yrM459ebjinFdhDWZz0S2&#10;RGErLXdtiH/oohHa0KMHqDPhBVuh/guq0RLBQelHEpoEylJLFTkQm3T8B5urSlgVuZA4zh5kcv8P&#10;Vr5aXyLTBc2OMyMaGlF/s/24/dL/6O+2n/qv/V1/u/3c/+y/9d/ZJOjVWpdR2ZW9xMDY2QuQ7xwz&#10;cFoJs1QniNBWShTUZRrykwcFYeOolC3al1DQc2LlIUrXldiwstb2bSgM0CQP6+KsNodZqc4zSYcp&#10;TT+dcibpKp0ePZvGWSYiCzCh2KLzzxU0LAQ5R7JCBBXrC+dDW/cpId3Aua7raIfaPDigxHASaYTO&#10;BwV8t+h2Yiyg2BAhhMFd9BsoqAA/cNaSs3Lu3q8EKs7qF4ZECTbcB7gPFvtAGEmlOfecDeGpH+y6&#10;sqiXFSEP2hg4IeFKHakEUYcudn2SWyLDnbODHX/fx6z7/zf/BQAA//8DAFBLAwQUAAYACAAAACEA&#10;j+1uKOMAAAANAQAADwAAAGRycy9kb3ducmV2LnhtbEyPQU/CQBCF7yb+h82YeIPdAjZQuyXEoMYD&#10;GGkv3oZ2bBu7u013gfrvHU56mzfz8uZ76Xo0nTjT4FtnNURTBYJs6arW1hqK/HmyBOED2go7Z0nD&#10;D3lYZ7c3KSaVu9gPOh9CLTjE+gQ1NCH0iZS+bMign7qeLN++3GAwsBxqWQ144XDTyZlSsTTYWv7Q&#10;YE9PDZXfh5PRsDF18b79fNi95VjkL/tijtv9q9b3d+PmEUSgMfyZ4YrP6JAx09GdbOVFx1otFlwm&#10;aJjMYx6uFhXPViCOvIoiBTJL5f8W2S8AAAD//wMAUEsBAi0AFAAGAAgAAAAhALaDOJL+AAAA4QEA&#10;ABMAAAAAAAAAAAAAAAAAAAAAAFtDb250ZW50X1R5cGVzXS54bWxQSwECLQAUAAYACAAAACEAOP0h&#10;/9YAAACUAQAACwAAAAAAAAAAAAAAAAAvAQAAX3JlbHMvLnJlbHNQSwECLQAUAAYACAAAACEAT5V/&#10;GQwCAADHAwAADgAAAAAAAAAAAAAAAAAuAgAAZHJzL2Uyb0RvYy54bWxQSwECLQAUAAYACAAAACEA&#10;j+1uKOMAAAANAQAADwAAAAAAAAAAAAAAAABmBAAAZHJzL2Rvd25yZXYueG1sUEsFBgAAAAAEAAQA&#10;8wAAAHYFAAAAAA==&#10;" o:allowincell="f" filled="f" stroked="f">
                <v:textbox inset="0,0,0,0">
                  <w:txbxContent>
                    <w:p w:rsidR="00084F90" w:rsidRDefault="00084F9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9125" cy="75247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91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.7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084F90" w:rsidRDefault="00DA5B73">
      <w:pPr>
        <w:pStyle w:val="caaieiaie1"/>
        <w:widowControl/>
        <w:ind w:left="-1701" w:right="-851" w:firstLine="981"/>
        <w:rPr>
          <w:sz w:val="28"/>
          <w:szCs w:val="28"/>
        </w:rPr>
      </w:pPr>
      <w:r>
        <w:rPr>
          <w:sz w:val="28"/>
          <w:szCs w:val="28"/>
        </w:rPr>
        <w:t>ГОРОДСКАЯ ДУМА ГОРОДА НИЖНЕГО НОВГОРОДА</w:t>
      </w:r>
    </w:p>
    <w:p w:rsidR="00084F90" w:rsidRDefault="00DA5B73">
      <w:pPr>
        <w:pStyle w:val="caaieiaie1"/>
        <w:widowControl/>
        <w:ind w:left="-1701" w:right="-851" w:firstLine="80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84F90" w:rsidRDefault="00084F90">
      <w:pPr>
        <w:rPr>
          <w:sz w:val="28"/>
          <w:szCs w:val="28"/>
        </w:rPr>
      </w:pPr>
    </w:p>
    <w:tbl>
      <w:tblPr>
        <w:tblW w:w="98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364"/>
        <w:gridCol w:w="161"/>
        <w:gridCol w:w="1988"/>
        <w:gridCol w:w="3147"/>
      </w:tblGrid>
      <w:tr w:rsidR="00084F90">
        <w:trPr>
          <w:trHeight w:val="457"/>
        </w:trPr>
        <w:tc>
          <w:tcPr>
            <w:tcW w:w="4685" w:type="dxa"/>
            <w:gridSpan w:val="3"/>
          </w:tcPr>
          <w:p w:rsidR="00084F90" w:rsidRDefault="00DA5B73">
            <w:pPr>
              <w:pStyle w:val="oaae1"/>
              <w:spacing w:line="240" w:lineRule="auto"/>
              <w:ind w:firstLine="10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</w:t>
            </w:r>
          </w:p>
          <w:p w:rsidR="00084F90" w:rsidRDefault="00084F90">
            <w:pPr>
              <w:pStyle w:val="oaae1"/>
              <w:spacing w:line="240" w:lineRule="auto"/>
              <w:ind w:firstLine="1064"/>
              <w:rPr>
                <w:sz w:val="27"/>
                <w:szCs w:val="27"/>
              </w:rPr>
            </w:pPr>
          </w:p>
        </w:tc>
        <w:tc>
          <w:tcPr>
            <w:tcW w:w="1988" w:type="dxa"/>
          </w:tcPr>
          <w:p w:rsidR="00084F90" w:rsidRDefault="00DA5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№</w:t>
            </w:r>
          </w:p>
        </w:tc>
        <w:tc>
          <w:tcPr>
            <w:tcW w:w="3147" w:type="dxa"/>
          </w:tcPr>
          <w:p w:rsidR="00084F90" w:rsidRDefault="00DA5B73">
            <w:pPr>
              <w:ind w:left="-92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№ _______________</w:t>
            </w:r>
          </w:p>
        </w:tc>
      </w:tr>
      <w:tr w:rsidR="00084F90">
        <w:trPr>
          <w:trHeight w:hRule="exact" w:val="81"/>
        </w:trPr>
        <w:tc>
          <w:tcPr>
            <w:tcW w:w="160" w:type="dxa"/>
            <w:tcBorders>
              <w:top w:val="single" w:sz="4" w:space="0" w:color="FF0000"/>
              <w:left w:val="single" w:sz="4" w:space="0" w:color="FF0000"/>
            </w:tcBorders>
          </w:tcPr>
          <w:p w:rsidR="00084F90" w:rsidRDefault="00084F90">
            <w:pPr>
              <w:pStyle w:val="33"/>
              <w:ind w:hanging="70"/>
              <w:rPr>
                <w:sz w:val="27"/>
                <w:szCs w:val="27"/>
              </w:rPr>
            </w:pPr>
          </w:p>
        </w:tc>
        <w:tc>
          <w:tcPr>
            <w:tcW w:w="4364" w:type="dxa"/>
          </w:tcPr>
          <w:p w:rsidR="00084F90" w:rsidRDefault="00084F90">
            <w:pPr>
              <w:pStyle w:val="33"/>
              <w:ind w:hanging="70"/>
              <w:rPr>
                <w:sz w:val="27"/>
                <w:szCs w:val="27"/>
              </w:rPr>
            </w:pPr>
          </w:p>
        </w:tc>
        <w:tc>
          <w:tcPr>
            <w:tcW w:w="160" w:type="dxa"/>
            <w:tcBorders>
              <w:top w:val="single" w:sz="4" w:space="0" w:color="FF0000"/>
              <w:right w:val="single" w:sz="4" w:space="0" w:color="FF0000"/>
            </w:tcBorders>
          </w:tcPr>
          <w:p w:rsidR="00084F90" w:rsidRDefault="00084F90">
            <w:pPr>
              <w:pStyle w:val="33"/>
              <w:ind w:hanging="70"/>
              <w:rPr>
                <w:sz w:val="27"/>
                <w:szCs w:val="27"/>
              </w:rPr>
            </w:pPr>
          </w:p>
        </w:tc>
        <w:tc>
          <w:tcPr>
            <w:tcW w:w="1988" w:type="dxa"/>
            <w:tcBorders>
              <w:left w:val="single" w:sz="4" w:space="0" w:color="FF0000"/>
            </w:tcBorders>
          </w:tcPr>
          <w:p w:rsidR="00084F90" w:rsidRDefault="00084F90">
            <w:pPr>
              <w:pStyle w:val="33"/>
              <w:rPr>
                <w:sz w:val="27"/>
                <w:szCs w:val="27"/>
              </w:rPr>
            </w:pPr>
          </w:p>
        </w:tc>
        <w:tc>
          <w:tcPr>
            <w:tcW w:w="3147" w:type="dxa"/>
          </w:tcPr>
          <w:p w:rsidR="00084F90" w:rsidRDefault="00084F90">
            <w:pPr>
              <w:jc w:val="center"/>
              <w:rPr>
                <w:sz w:val="27"/>
                <w:szCs w:val="27"/>
              </w:rPr>
            </w:pPr>
          </w:p>
        </w:tc>
      </w:tr>
      <w:tr w:rsidR="00084F90">
        <w:trPr>
          <w:trHeight w:val="2172"/>
        </w:trPr>
        <w:tc>
          <w:tcPr>
            <w:tcW w:w="4685" w:type="dxa"/>
            <w:gridSpan w:val="3"/>
          </w:tcPr>
          <w:p w:rsidR="00084F90" w:rsidRDefault="00DA5B7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изменения в абзац третий пункта 13.39 Правил благоустройства территории муниципального образования городской округ </w:t>
            </w:r>
            <w:r>
              <w:rPr>
                <w:bCs/>
                <w:sz w:val="28"/>
                <w:szCs w:val="28"/>
              </w:rPr>
              <w:t>город Нижний Новгород, утвержденных решением городской Думы города Нижнего Новгорода от 26.12.2018 № 272</w:t>
            </w:r>
          </w:p>
          <w:p w:rsidR="00084F90" w:rsidRDefault="00DA5B73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084F90" w:rsidRDefault="00084F90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  <w:p w:rsidR="00084F90" w:rsidRDefault="00084F90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84F90" w:rsidRDefault="00084F90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084F90" w:rsidRDefault="00084F90">
            <w:pPr>
              <w:ind w:right="57"/>
              <w:rPr>
                <w:sz w:val="28"/>
                <w:szCs w:val="28"/>
              </w:rPr>
            </w:pPr>
          </w:p>
        </w:tc>
      </w:tr>
    </w:tbl>
    <w:p w:rsidR="00084F90" w:rsidRDefault="00DA5B73">
      <w:pPr>
        <w:spacing w:line="360" w:lineRule="auto"/>
        <w:rPr>
          <w:rFonts w:eastAsia="Calibri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</w:t>
      </w:r>
      <w:r>
        <w:rPr>
          <w:rFonts w:eastAsia="Calibri"/>
          <w:sz w:val="28"/>
          <w:szCs w:val="28"/>
          <w:lang w:eastAsia="en-US"/>
        </w:rPr>
        <w:t xml:space="preserve">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статьей 29 </w:t>
      </w:r>
      <w:r>
        <w:rPr>
          <w:rFonts w:eastAsia="Calibri"/>
          <w:sz w:val="28"/>
          <w:szCs w:val="28"/>
          <w:lang w:eastAsia="en-US"/>
        </w:rPr>
        <w:t>Устава города Нижнего Новгор</w:t>
      </w:r>
      <w:r>
        <w:rPr>
          <w:rFonts w:eastAsia="Calibri"/>
          <w:sz w:val="28"/>
          <w:szCs w:val="28"/>
          <w:lang w:eastAsia="en-US"/>
        </w:rPr>
        <w:t>ода</w:t>
      </w:r>
    </w:p>
    <w:p w:rsidR="00084F90" w:rsidRDefault="00084F90">
      <w:pPr>
        <w:spacing w:line="360" w:lineRule="auto"/>
        <w:rPr>
          <w:szCs w:val="28"/>
        </w:rPr>
      </w:pPr>
    </w:p>
    <w:p w:rsidR="00084F90" w:rsidRDefault="00DA5B73">
      <w:pPr>
        <w:keepNext/>
        <w:spacing w:line="360" w:lineRule="auto"/>
        <w:jc w:val="center"/>
        <w:outlineLvl w:val="0"/>
        <w:rPr>
          <w:b/>
          <w:szCs w:val="28"/>
        </w:rPr>
      </w:pPr>
      <w:r>
        <w:rPr>
          <w:b/>
          <w:sz w:val="28"/>
          <w:szCs w:val="28"/>
        </w:rPr>
        <w:t>ГОРОДСКАЯ ДУМА РЕШИЛА:</w:t>
      </w:r>
    </w:p>
    <w:p w:rsidR="00084F90" w:rsidRDefault="00084F90">
      <w:pPr>
        <w:keepNext/>
        <w:spacing w:line="360" w:lineRule="auto"/>
        <w:jc w:val="center"/>
        <w:outlineLvl w:val="0"/>
        <w:rPr>
          <w:b/>
          <w:szCs w:val="28"/>
        </w:rPr>
      </w:pPr>
    </w:p>
    <w:p w:rsidR="00084F90" w:rsidRDefault="00DA5B73">
      <w:pPr>
        <w:spacing w:line="360" w:lineRule="auto"/>
        <w:jc w:val="both"/>
        <w:rPr>
          <w:szCs w:val="28"/>
        </w:rPr>
      </w:pPr>
      <w:r>
        <w:rPr>
          <w:sz w:val="28"/>
          <w:szCs w:val="28"/>
        </w:rPr>
        <w:tab/>
        <w:t>1. Внести в абзац третий пункта 13.39 Правил благоустройства территории муниципального образования городской округ город Нижний Новгород, утвержденных решением городской Думы города Нижнего Новгорода от 26.12.2018 № 272 (с изм</w:t>
      </w:r>
      <w:r>
        <w:rPr>
          <w:sz w:val="28"/>
          <w:szCs w:val="28"/>
        </w:rPr>
        <w:t xml:space="preserve">енениями, внесенными решениями городской Думы города Нижнего Новгорода от 19.06.2019 № 110, от 23.06.2021 № 130, от 28.09.2022 № 198, от 22.03.2023 № 46, от 26.04.2023 № 70, от 28.06.2023 № 139, от 23.11.2023 № 246, от 22.05.2024 № 96), изменение, изложив </w:t>
      </w:r>
      <w:r>
        <w:rPr>
          <w:sz w:val="28"/>
          <w:szCs w:val="28"/>
        </w:rPr>
        <w:t>его в следующей редакции:</w:t>
      </w:r>
    </w:p>
    <w:p w:rsidR="00084F90" w:rsidRDefault="00DA5B73">
      <w:pPr>
        <w:spacing w:line="360" w:lineRule="auto"/>
        <w:jc w:val="both"/>
        <w:rPr>
          <w:szCs w:val="28"/>
        </w:rPr>
      </w:pPr>
      <w:r>
        <w:rPr>
          <w:sz w:val="28"/>
          <w:szCs w:val="28"/>
        </w:rPr>
        <w:tab/>
        <w:t xml:space="preserve">«восстановление несущего слоя основания и верхнего слоя из холодной или горячей асфальтобетонной смеси, или литого асфальтобетона. Допускается </w:t>
      </w:r>
      <w:r>
        <w:rPr>
          <w:sz w:val="28"/>
          <w:szCs w:val="28"/>
        </w:rPr>
        <w:lastRenderedPageBreak/>
        <w:t xml:space="preserve">применение временного покрытия из брусчатки на автомобильных дорогах всех категорий и </w:t>
      </w:r>
      <w:r>
        <w:rPr>
          <w:sz w:val="28"/>
          <w:szCs w:val="28"/>
        </w:rPr>
        <w:t>групп, за исключением дорог категории II (группа А), категории II (высшая группа);»</w:t>
      </w:r>
    </w:p>
    <w:p w:rsidR="00084F90" w:rsidRDefault="00DA5B73">
      <w:pPr>
        <w:spacing w:line="360" w:lineRule="auto"/>
        <w:ind w:firstLine="708"/>
        <w:jc w:val="both"/>
        <w:rPr>
          <w:szCs w:val="28"/>
        </w:rPr>
      </w:pPr>
      <w:r>
        <w:rPr>
          <w:color w:val="392C69"/>
          <w:sz w:val="28"/>
          <w:szCs w:val="28"/>
        </w:rPr>
        <w:t>2</w:t>
      </w:r>
      <w:r>
        <w:rPr>
          <w:sz w:val="28"/>
          <w:szCs w:val="28"/>
        </w:rPr>
        <w:t>.</w:t>
      </w:r>
      <w:bookmarkStart w:id="0" w:name="undefined"/>
      <w:r>
        <w:rPr>
          <w:sz w:val="28"/>
          <w:szCs w:val="28"/>
        </w:rPr>
        <w:t xml:space="preserve"> Решение вступает в силу с 1 сентября 2025 года, но не ранее чем по истечении девяноста дней после дня его официального обнародования.</w:t>
      </w:r>
      <w:bookmarkEnd w:id="0"/>
    </w:p>
    <w:p w:rsidR="00084F90" w:rsidRDefault="00084F90">
      <w:pPr>
        <w:spacing w:line="360" w:lineRule="auto"/>
        <w:rPr>
          <w:szCs w:val="28"/>
        </w:rPr>
      </w:pPr>
    </w:p>
    <w:p w:rsidR="00084F90" w:rsidRDefault="00084F90">
      <w:pPr>
        <w:spacing w:line="360" w:lineRule="auto"/>
        <w:rPr>
          <w:szCs w:val="28"/>
        </w:rPr>
      </w:pPr>
    </w:p>
    <w:p w:rsidR="00084F90" w:rsidRDefault="00084F90">
      <w:pPr>
        <w:spacing w:line="360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962"/>
      </w:tblGrid>
      <w:tr w:rsidR="00084F90">
        <w:tc>
          <w:tcPr>
            <w:tcW w:w="4676" w:type="dxa"/>
            <w:shd w:val="clear" w:color="FFFFFF" w:fill="FFFFFF"/>
          </w:tcPr>
          <w:p w:rsidR="00084F90" w:rsidRDefault="00DA5B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Глава города Нижнего Новгорода</w:t>
            </w:r>
          </w:p>
        </w:tc>
        <w:tc>
          <w:tcPr>
            <w:tcW w:w="4962" w:type="dxa"/>
            <w:shd w:val="clear" w:color="FFFFFF" w:fill="FFFFFF"/>
          </w:tcPr>
          <w:p w:rsidR="00084F90" w:rsidRDefault="00DA5B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городской Думы</w:t>
            </w:r>
          </w:p>
          <w:p w:rsidR="00084F90" w:rsidRDefault="00DA5B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города Нижнего Новгорода</w:t>
            </w:r>
          </w:p>
        </w:tc>
      </w:tr>
      <w:tr w:rsidR="00084F90">
        <w:tc>
          <w:tcPr>
            <w:tcW w:w="4676" w:type="dxa"/>
            <w:shd w:val="clear" w:color="FFFFFF" w:fill="FFFFFF"/>
          </w:tcPr>
          <w:p w:rsidR="00084F90" w:rsidRDefault="00084F90">
            <w:pPr>
              <w:spacing w:line="360" w:lineRule="auto"/>
              <w:rPr>
                <w:szCs w:val="28"/>
              </w:rPr>
            </w:pPr>
          </w:p>
          <w:p w:rsidR="00084F90" w:rsidRDefault="00084F90">
            <w:pPr>
              <w:spacing w:line="360" w:lineRule="auto"/>
              <w:rPr>
                <w:szCs w:val="28"/>
              </w:rPr>
            </w:pPr>
          </w:p>
          <w:p w:rsidR="00084F90" w:rsidRDefault="00DA5B73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Ю.В. Шалабаев</w:t>
            </w:r>
          </w:p>
        </w:tc>
        <w:tc>
          <w:tcPr>
            <w:tcW w:w="4962" w:type="dxa"/>
            <w:shd w:val="clear" w:color="FFFFFF" w:fill="FFFFFF"/>
          </w:tcPr>
          <w:p w:rsidR="00084F90" w:rsidRDefault="00084F90">
            <w:pPr>
              <w:spacing w:line="360" w:lineRule="auto"/>
              <w:rPr>
                <w:szCs w:val="28"/>
              </w:rPr>
            </w:pPr>
          </w:p>
          <w:p w:rsidR="00084F90" w:rsidRDefault="00084F90">
            <w:pPr>
              <w:spacing w:line="360" w:lineRule="auto"/>
              <w:rPr>
                <w:szCs w:val="28"/>
              </w:rPr>
            </w:pPr>
          </w:p>
          <w:p w:rsidR="00084F90" w:rsidRDefault="00DA5B73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Е.А. Чинцов</w:t>
            </w:r>
          </w:p>
        </w:tc>
      </w:tr>
    </w:tbl>
    <w:p w:rsidR="00084F90" w:rsidRDefault="00084F90">
      <w:pPr>
        <w:spacing w:line="360" w:lineRule="auto"/>
        <w:jc w:val="center"/>
        <w:rPr>
          <w:b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</w:p>
    <w:p w:rsidR="00053C02" w:rsidRDefault="00053C02" w:rsidP="00053C02">
      <w:pPr>
        <w:jc w:val="center"/>
        <w:rPr>
          <w:b/>
          <w:caps/>
          <w:sz w:val="28"/>
          <w:szCs w:val="28"/>
        </w:rPr>
      </w:pPr>
      <w:bookmarkStart w:id="1" w:name="_GoBack"/>
      <w:bookmarkEnd w:id="1"/>
      <w:r>
        <w:rPr>
          <w:b/>
          <w:caps/>
          <w:sz w:val="28"/>
          <w:szCs w:val="28"/>
        </w:rPr>
        <w:lastRenderedPageBreak/>
        <w:t xml:space="preserve">пояснительная записка </w:t>
      </w:r>
    </w:p>
    <w:p w:rsidR="00053C02" w:rsidRDefault="00053C02" w:rsidP="00053C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проекту решения городской Думы города Нижнего Новгорода </w:t>
      </w:r>
    </w:p>
    <w:p w:rsidR="00053C02" w:rsidRDefault="00053C02" w:rsidP="00053C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 внесении изменения в абзац третий пункта 13.39 Правил благоустройства территории муниципального образования городской округ город Нижний Новгород, утвержденных решением городской Думы города Нижнего Новгорода от 26.12.2018 № 272» (далее – Проект)</w:t>
      </w:r>
    </w:p>
    <w:p w:rsidR="00053C02" w:rsidRDefault="00053C02" w:rsidP="00053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поручением и принятым решением главы города Нижнего Новгорода Ю.В.Шалабаева Сл-01-01-339627/24 от 16.04.2024  о нормативно-правовом регулировании вопроса применения материалов при восстановлении покрытия автомобильных дорог общего пользования местного значения, иных дорог в зимний период путем внесения изменений в Правила благоустройства территории муниципального образования городской округ город Нижний Новгород, утвержденные решением городской Думы города Нижнего Новгорода от 26.12.2018 № 272 (далее – Правила благоустройства) разработан настоящий Проект.</w:t>
      </w:r>
    </w:p>
    <w:p w:rsidR="00053C02" w:rsidRDefault="00053C02" w:rsidP="00053C02">
      <w:pPr>
        <w:pStyle w:val="af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решения городской Думы поручена департаменту транспорта и дорожного хозяйства администрации города Нижнего Новгорода. </w:t>
      </w:r>
    </w:p>
    <w:p w:rsidR="00053C02" w:rsidRDefault="00053C02" w:rsidP="00053C02">
      <w:pPr>
        <w:pStyle w:val="af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настоящего Проекта является нормативно-правовое регулирование вопроса восстановления покрытия автомобильных дорог в зимний период времени. </w:t>
      </w:r>
    </w:p>
    <w:p w:rsidR="00053C02" w:rsidRDefault="00053C02" w:rsidP="00053C02">
      <w:pPr>
        <w:pStyle w:val="afc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действующей редакции Правил благоустройства при восстановлении дорожного полотна допускается применение временного покрытия из брусчатки на всех категориях и группах дорог. Настоящим Проектом допускается восстановление дорожного полотна с применением временного покрытия из брусчатки, лишь на дорогах категории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(группа Б),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(группа В),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(группа Г). Применение временного покрытия из брусчатки на дорогах категории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(группа А),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(высшая) недопустимо. Поскольку наличие брусчатки на дорогах указанной категории повышает риск возникновения ДТП, причинения ущерба имуществу третьих лиц и вреда здоровью граждан. Причина возникновения указанных обстоятельств обусловлена высокой интенсивностью и скоростью движения транспортных средств на дорогах категории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(группа А),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(высшая), а также движением общественного транспорта по таким дорогам.</w:t>
      </w:r>
    </w:p>
    <w:p w:rsidR="00053C02" w:rsidRDefault="00053C02" w:rsidP="00053C02">
      <w:pPr>
        <w:pStyle w:val="afc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действующей редакции Правил благоустройства при восстановлении дорожного полотна допускается применение </w:t>
      </w:r>
      <w:r>
        <w:rPr>
          <w:color w:val="000000"/>
          <w:sz w:val="28"/>
          <w:szCs w:val="28"/>
          <w:highlight w:val="white"/>
        </w:rPr>
        <w:t>холодной асфальтобетонной смеси</w:t>
      </w:r>
      <w:r>
        <w:rPr>
          <w:sz w:val="28"/>
          <w:szCs w:val="28"/>
        </w:rPr>
        <w:t xml:space="preserve">. Настоящий Проект расширяет перечень материалов, применяемых при восстановление несущего слоя основания и верхнего слоя из холодной или горячей асфальтобетонной смеси, или литого асфальтобетона. </w:t>
      </w:r>
    </w:p>
    <w:p w:rsidR="00053C02" w:rsidRDefault="00053C02" w:rsidP="00053C02">
      <w:pPr>
        <w:pStyle w:val="af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дорог определяются согласно постановлению Правительства РФ от 28.09.2009 № 767 «О классификации автомобильных дорог в РФ», группы дорог определяются согласно постановлению администрации города Нижнего Новгорода от 30.10.2013 №4199 «Об утверждении нормативов финансовых затрат и правил расчета размера ассигнований на содержание, ремонт и капитальный ремонт автомобильных дорог местного значения города Нижнего Новгорода». </w:t>
      </w:r>
    </w:p>
    <w:p w:rsidR="00053C02" w:rsidRDefault="00053C02" w:rsidP="00053C02">
      <w:pPr>
        <w:ind w:firstLine="540"/>
        <w:jc w:val="center"/>
        <w:outlineLvl w:val="0"/>
        <w:rPr>
          <w:b/>
          <w:bCs/>
          <w:caps/>
          <w:sz w:val="28"/>
          <w:szCs w:val="28"/>
        </w:rPr>
      </w:pPr>
    </w:p>
    <w:p w:rsidR="00053C02" w:rsidRDefault="00053C02" w:rsidP="00053C02">
      <w:pPr>
        <w:ind w:firstLine="540"/>
        <w:jc w:val="center"/>
        <w:outlineLvl w:val="0"/>
        <w:rPr>
          <w:b/>
          <w:bCs/>
          <w:caps/>
          <w:sz w:val="28"/>
          <w:szCs w:val="28"/>
        </w:rPr>
      </w:pPr>
    </w:p>
    <w:p w:rsidR="00053C02" w:rsidRDefault="00053C02" w:rsidP="00053C02">
      <w:pPr>
        <w:ind w:firstLine="540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Финансово-экономическое обоснование</w:t>
      </w:r>
    </w:p>
    <w:p w:rsidR="00053C02" w:rsidRDefault="00053C02" w:rsidP="00053C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проекта решения городской Думы города Нижнего Новгорода </w:t>
      </w:r>
    </w:p>
    <w:p w:rsidR="00053C02" w:rsidRDefault="00053C02" w:rsidP="00053C02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внесении изменения в абзац третий пункта 13.39 Правил благоустройства территории муниципального образования городской округ город Нижний Новгород, утвержденных решением городской Думы города Нижнего Новгорода от 26.12.2018 № 272» (далее – проект решения)</w:t>
      </w:r>
      <w:r>
        <w:rPr>
          <w:bCs/>
          <w:color w:val="000000"/>
          <w:sz w:val="28"/>
          <w:szCs w:val="28"/>
        </w:rPr>
        <w:t xml:space="preserve"> </w:t>
      </w:r>
    </w:p>
    <w:p w:rsidR="00053C02" w:rsidRDefault="00053C02" w:rsidP="00053C02">
      <w:pPr>
        <w:ind w:firstLine="540"/>
        <w:jc w:val="center"/>
        <w:rPr>
          <w:b/>
          <w:color w:val="000000"/>
          <w:sz w:val="28"/>
          <w:szCs w:val="28"/>
        </w:rPr>
      </w:pPr>
    </w:p>
    <w:p w:rsidR="00053C02" w:rsidRDefault="00053C02" w:rsidP="00053C02">
      <w:pPr>
        <w:ind w:firstLine="709"/>
        <w:jc w:val="both"/>
        <w:rPr>
          <w:sz w:val="28"/>
          <w:szCs w:val="28"/>
        </w:rPr>
      </w:pPr>
      <w:r>
        <w:rPr>
          <w:sz w:val="28"/>
        </w:rPr>
        <w:t>Принятие проекта решения не повлечет возникновение, увеличение либо уменьшение расходов бюджета города Нижнего Новгорода.</w:t>
      </w:r>
    </w:p>
    <w:p w:rsidR="00053C02" w:rsidRDefault="00053C02" w:rsidP="00053C02">
      <w:pPr>
        <w:ind w:firstLine="709"/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both"/>
        <w:rPr>
          <w:sz w:val="28"/>
          <w:szCs w:val="28"/>
        </w:rPr>
      </w:pPr>
    </w:p>
    <w:p w:rsidR="00053C02" w:rsidRDefault="00053C02" w:rsidP="00053C02">
      <w:pPr>
        <w:jc w:val="center"/>
        <w:rPr>
          <w:b/>
          <w:bCs/>
          <w:sz w:val="28"/>
          <w:szCs w:val="28"/>
        </w:rPr>
      </w:pPr>
    </w:p>
    <w:p w:rsidR="00053C02" w:rsidRDefault="00053C02" w:rsidP="00053C02">
      <w:pPr>
        <w:jc w:val="center"/>
        <w:rPr>
          <w:b/>
          <w:bCs/>
          <w:sz w:val="28"/>
          <w:szCs w:val="28"/>
        </w:rPr>
      </w:pPr>
    </w:p>
    <w:p w:rsidR="00053C02" w:rsidRDefault="00053C02" w:rsidP="00053C0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053C02" w:rsidRDefault="00053C02" w:rsidP="00053C0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правовых актов городской Думы города Нижнего Новгорода, подлежащих принятию, изменению либо отмене </w:t>
      </w:r>
    </w:p>
    <w:p w:rsidR="00053C02" w:rsidRDefault="00053C02" w:rsidP="00053C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проекта решения городской Думы города Нижнего Новгорода </w:t>
      </w:r>
      <w:r>
        <w:rPr>
          <w:b/>
          <w:bCs/>
          <w:color w:val="000000"/>
          <w:sz w:val="28"/>
          <w:szCs w:val="28"/>
        </w:rPr>
        <w:t xml:space="preserve">«О внесении изменения в абзац третий пункта 13.39 Правил благоустройства территории муниципального образования городской округ город Нижний Новгород, утвержденных решением городской Думы города Нижнего Новгорода от 26.12.2018 № 272» </w:t>
      </w:r>
    </w:p>
    <w:p w:rsidR="00053C02" w:rsidRDefault="00053C02" w:rsidP="00053C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(далее – проект решения)</w:t>
      </w:r>
      <w:r>
        <w:rPr>
          <w:bCs/>
          <w:color w:val="000000"/>
          <w:sz w:val="28"/>
          <w:szCs w:val="28"/>
        </w:rPr>
        <w:t xml:space="preserve"> </w:t>
      </w:r>
    </w:p>
    <w:p w:rsidR="00053C02" w:rsidRDefault="00053C02" w:rsidP="00053C02">
      <w:pPr>
        <w:ind w:firstLine="540"/>
        <w:jc w:val="center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053C02" w:rsidRDefault="00053C02" w:rsidP="00053C02">
      <w:pPr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sz w:val="28"/>
          <w:szCs w:val="28"/>
        </w:rPr>
        <w:t>Принятие проекта решения не потребует принятия, изменения и отмены муниципальных правовых актов городской Думы города Нижнего Новгорода.</w:t>
      </w: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Таблица изменений по проекту решения</w:t>
      </w:r>
    </w:p>
    <w:p w:rsidR="00053C02" w:rsidRDefault="00053C02" w:rsidP="00053C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городской Думы города Нижнего Новгорода </w:t>
      </w:r>
    </w:p>
    <w:p w:rsidR="00053C02" w:rsidRDefault="00053C02" w:rsidP="00053C0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 внесении изменения в абзац третий пункта 13.39 Правил благоустройства территории муниципального образования городской округ город Нижний Новгород, утвержденных решением городской Думы города Нижнего Новгорода от 26.12.2018 № 272» </w:t>
      </w:r>
    </w:p>
    <w:p w:rsidR="00053C02" w:rsidRDefault="00053C02" w:rsidP="00053C02">
      <w:pPr>
        <w:jc w:val="center"/>
        <w:rPr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53C02" w:rsidTr="00D61925">
        <w:tc>
          <w:tcPr>
            <w:tcW w:w="5103" w:type="dxa"/>
          </w:tcPr>
          <w:p w:rsidR="00053C02" w:rsidRDefault="00053C02" w:rsidP="00D619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Действующая редакция Правил благоустройства </w:t>
            </w:r>
          </w:p>
        </w:tc>
        <w:tc>
          <w:tcPr>
            <w:tcW w:w="5103" w:type="dxa"/>
          </w:tcPr>
          <w:p w:rsidR="00053C02" w:rsidRDefault="00053C02" w:rsidP="00D619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Редакция проекта решения городской Думы г.Н.Новгорода</w:t>
            </w:r>
          </w:p>
        </w:tc>
      </w:tr>
      <w:tr w:rsidR="00053C02" w:rsidTr="00D61925">
        <w:tc>
          <w:tcPr>
            <w:tcW w:w="5103" w:type="dxa"/>
          </w:tcPr>
          <w:p w:rsidR="00053C02" w:rsidRDefault="00053C02" w:rsidP="00D619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восстановление несущего слоя основания и верхнего слоя из холодной асфальтобетонной смеси или временного покрытия из брусчатки;</w:t>
            </w:r>
          </w:p>
          <w:p w:rsidR="00053C02" w:rsidRDefault="00053C02" w:rsidP="00D6192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103" w:type="dxa"/>
          </w:tcPr>
          <w:p w:rsidR="00053C02" w:rsidRDefault="00053C02" w:rsidP="00D6192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несущего слоя основания и верхнего слоя из холодной или горячей асфальтобетонной смеси, или литого асфальтобетона. Допускается применение временного покрытия из брусчатки на автомобильных дорогах всех категорий и групп, за исключением дорог категории II (группа А), категории II (высшая группа);</w:t>
            </w:r>
          </w:p>
        </w:tc>
      </w:tr>
    </w:tbl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center"/>
        <w:rPr>
          <w:rFonts w:ascii="Calibri" w:hAnsi="Calibri"/>
          <w:sz w:val="28"/>
          <w:szCs w:val="28"/>
        </w:rPr>
      </w:pPr>
    </w:p>
    <w:p w:rsidR="00053C02" w:rsidRDefault="00053C02" w:rsidP="00053C02">
      <w:pPr>
        <w:jc w:val="both"/>
        <w:rPr>
          <w:rFonts w:ascii="Calibri" w:hAnsi="Calibri"/>
          <w:sz w:val="28"/>
          <w:szCs w:val="28"/>
        </w:rPr>
      </w:pPr>
    </w:p>
    <w:p w:rsidR="00084F90" w:rsidRDefault="00084F90">
      <w:pPr>
        <w:spacing w:line="360" w:lineRule="auto"/>
        <w:jc w:val="both"/>
        <w:rPr>
          <w:sz w:val="28"/>
          <w:szCs w:val="28"/>
        </w:rPr>
      </w:pPr>
    </w:p>
    <w:sectPr w:rsidR="00084F90">
      <w:pgSz w:w="11907" w:h="16834"/>
      <w:pgMar w:top="567" w:right="567" w:bottom="1134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73" w:rsidRDefault="00DA5B73">
      <w:r>
        <w:separator/>
      </w:r>
    </w:p>
  </w:endnote>
  <w:endnote w:type="continuationSeparator" w:id="0">
    <w:p w:rsidR="00DA5B73" w:rsidRDefault="00DA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73" w:rsidRDefault="00DA5B73">
      <w:r>
        <w:separator/>
      </w:r>
    </w:p>
  </w:footnote>
  <w:footnote w:type="continuationSeparator" w:id="0">
    <w:p w:rsidR="00DA5B73" w:rsidRDefault="00DA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527C"/>
    <w:multiLevelType w:val="hybridMultilevel"/>
    <w:tmpl w:val="2A602CCA"/>
    <w:lvl w:ilvl="0" w:tplc="9D72B53E">
      <w:start w:val="1"/>
      <w:numFmt w:val="decimal"/>
      <w:lvlText w:val="%1)"/>
      <w:lvlJc w:val="left"/>
      <w:pPr>
        <w:ind w:left="1417" w:hanging="360"/>
      </w:pPr>
    </w:lvl>
    <w:lvl w:ilvl="1" w:tplc="9424B24E">
      <w:start w:val="1"/>
      <w:numFmt w:val="lowerLetter"/>
      <w:lvlText w:val="%2."/>
      <w:lvlJc w:val="left"/>
      <w:pPr>
        <w:ind w:left="2137" w:hanging="360"/>
      </w:pPr>
    </w:lvl>
    <w:lvl w:ilvl="2" w:tplc="CC4C1986">
      <w:start w:val="1"/>
      <w:numFmt w:val="lowerRoman"/>
      <w:lvlText w:val="%3."/>
      <w:lvlJc w:val="right"/>
      <w:pPr>
        <w:ind w:left="2857" w:hanging="180"/>
      </w:pPr>
    </w:lvl>
    <w:lvl w:ilvl="3" w:tplc="895030BC">
      <w:start w:val="1"/>
      <w:numFmt w:val="decimal"/>
      <w:lvlText w:val="%4."/>
      <w:lvlJc w:val="left"/>
      <w:pPr>
        <w:ind w:left="3577" w:hanging="360"/>
      </w:pPr>
    </w:lvl>
    <w:lvl w:ilvl="4" w:tplc="F4DAD45C">
      <w:start w:val="1"/>
      <w:numFmt w:val="lowerLetter"/>
      <w:lvlText w:val="%5."/>
      <w:lvlJc w:val="left"/>
      <w:pPr>
        <w:ind w:left="4297" w:hanging="360"/>
      </w:pPr>
    </w:lvl>
    <w:lvl w:ilvl="5" w:tplc="725EFCF4">
      <w:start w:val="1"/>
      <w:numFmt w:val="lowerRoman"/>
      <w:lvlText w:val="%6."/>
      <w:lvlJc w:val="right"/>
      <w:pPr>
        <w:ind w:left="5017" w:hanging="180"/>
      </w:pPr>
    </w:lvl>
    <w:lvl w:ilvl="6" w:tplc="CD8ABAA8">
      <w:start w:val="1"/>
      <w:numFmt w:val="decimal"/>
      <w:lvlText w:val="%7."/>
      <w:lvlJc w:val="left"/>
      <w:pPr>
        <w:ind w:left="5737" w:hanging="360"/>
      </w:pPr>
    </w:lvl>
    <w:lvl w:ilvl="7" w:tplc="47002CC4">
      <w:start w:val="1"/>
      <w:numFmt w:val="lowerLetter"/>
      <w:lvlText w:val="%8."/>
      <w:lvlJc w:val="left"/>
      <w:pPr>
        <w:ind w:left="6457" w:hanging="360"/>
      </w:pPr>
    </w:lvl>
    <w:lvl w:ilvl="8" w:tplc="CEB81D0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90"/>
    <w:rsid w:val="00053C02"/>
    <w:rsid w:val="00084F90"/>
    <w:rsid w:val="00D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8D1C"/>
  <w15:docId w15:val="{F2E68CB5-7788-41BF-B21A-062075B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pPr>
      <w:ind w:firstLine="851"/>
    </w:pPr>
    <w:rPr>
      <w:sz w:val="28"/>
      <w:lang w:val="en-US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"/>
    <w:next w:val="a"/>
    <w:pPr>
      <w:widowControl w:val="0"/>
      <w:tabs>
        <w:tab w:val="right" w:leader="dot" w:pos="9639"/>
      </w:tabs>
      <w:jc w:val="center"/>
    </w:pPr>
    <w:rPr>
      <w:sz w:val="144"/>
    </w:rPr>
  </w:style>
  <w:style w:type="paragraph" w:customStyle="1" w:styleId="caaieiaie1">
    <w:name w:val="caaieiaie 1"/>
    <w:basedOn w:val="a"/>
    <w:next w:val="a"/>
    <w:pPr>
      <w:keepNext/>
      <w:widowControl w:val="0"/>
      <w:jc w:val="center"/>
    </w:pPr>
    <w:rPr>
      <w:b/>
      <w:sz w:val="32"/>
    </w:rPr>
  </w:style>
  <w:style w:type="paragraph" w:customStyle="1" w:styleId="oaae1">
    <w:name w:val="oaae1"/>
    <w:basedOn w:val="a"/>
    <w:pPr>
      <w:spacing w:line="320" w:lineRule="atLeast"/>
      <w:jc w:val="both"/>
    </w:pPr>
    <w:rPr>
      <w:sz w:val="28"/>
    </w:rPr>
  </w:style>
  <w:style w:type="character" w:customStyle="1" w:styleId="extended-textshort">
    <w:name w:val="extended-text__short"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unhideWhenUsed/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05E0-70E6-4D64-8EF8-8DFA18CE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Ольга Владимировна</dc:creator>
  <cp:lastModifiedBy>Куколкина Юлия Сергеевна</cp:lastModifiedBy>
  <cp:revision>14</cp:revision>
  <dcterms:created xsi:type="dcterms:W3CDTF">2024-05-23T08:48:00Z</dcterms:created>
  <dcterms:modified xsi:type="dcterms:W3CDTF">2024-12-27T08:16:00Z</dcterms:modified>
</cp:coreProperties>
</file>